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D" w:rsidRPr="00222B43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bookmarkStart w:id="0" w:name="_GoBack"/>
      <w:bookmarkEnd w:id="0"/>
      <w:r w:rsidRPr="00222B43">
        <w:rPr>
          <w:rFonts w:asciiTheme="majorHAnsi" w:hAnsiTheme="majorHAnsi"/>
          <w:b/>
          <w:bCs/>
          <w:lang w:val="bg-BG" w:eastAsia="bg-BG"/>
        </w:rPr>
        <w:t>ОБЯВЛЕНИЕ</w:t>
      </w:r>
    </w:p>
    <w:p w:rsidR="00673DF7" w:rsidRPr="001A2570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1A2570">
        <w:rPr>
          <w:rFonts w:asciiTheme="majorHAnsi" w:hAnsiTheme="majorHAnsi"/>
          <w:b/>
          <w:bCs/>
          <w:lang w:val="bg-BG" w:eastAsia="bg-BG"/>
        </w:rPr>
        <w:t>,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1A2570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1A2570">
        <w:rPr>
          <w:rFonts w:asciiTheme="majorHAnsi" w:hAnsiTheme="majorHAnsi" w:cstheme="minorHAnsi"/>
          <w:lang w:val="bg-BG"/>
        </w:rPr>
        <w:t xml:space="preserve"> 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1A2570">
        <w:rPr>
          <w:rFonts w:asciiTheme="majorHAnsi" w:hAnsiTheme="majorHAnsi" w:cstheme="minorHAnsi"/>
          <w:b/>
          <w:lang w:val="bg-BG"/>
        </w:rPr>
        <w:t>/</w:t>
      </w:r>
      <w:r w:rsidRPr="001A2570">
        <w:rPr>
          <w:rFonts w:asciiTheme="majorHAnsi" w:hAnsiTheme="majorHAnsi"/>
          <w:b/>
          <w:lang w:val="bg-BG"/>
        </w:rPr>
        <w:t>приета с ПМС № 304 от 03.12.2019 г., обн. ДВ, бр.97 от 10.12.2019 г., изм. и доп. ДВ, бр. 9 от 31.01.2020 г.</w:t>
      </w:r>
      <w:r w:rsidRPr="001A2570">
        <w:rPr>
          <w:rFonts w:asciiTheme="majorHAnsi" w:hAnsiTheme="majorHAnsi"/>
          <w:lang w:val="bg-BG"/>
        </w:rPr>
        <w:t xml:space="preserve">, </w:t>
      </w:r>
      <w:r w:rsidRPr="001A2570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1A2570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:rsidR="0014238C" w:rsidRPr="001A2570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:rsidR="00295A57" w:rsidRPr="00EA5B76" w:rsidRDefault="0028567A" w:rsidP="00CD2DBE">
      <w:pPr>
        <w:rPr>
          <w:rFonts w:ascii="Cambria" w:hAnsi="Cambria"/>
          <w:lang w:val="bg-BG"/>
        </w:rPr>
      </w:pPr>
      <w:r w:rsidRPr="00CD2DBE">
        <w:rPr>
          <w:rFonts w:asciiTheme="majorHAnsi" w:hAnsiTheme="majorHAnsi"/>
          <w:b/>
          <w:color w:val="262626" w:themeColor="text1" w:themeTint="D9"/>
          <w:lang w:val="bg-BG"/>
        </w:rPr>
        <w:t>„</w:t>
      </w:r>
      <w:r w:rsidR="00EA5B76" w:rsidRPr="00EA5B76">
        <w:rPr>
          <w:rFonts w:asciiTheme="majorHAnsi" w:hAnsiTheme="majorHAnsi"/>
          <w:b/>
          <w:color w:val="262626" w:themeColor="text1" w:themeTint="D9"/>
          <w:lang w:val="bg-BG"/>
        </w:rPr>
        <w:t xml:space="preserve">Директор на дирекция” – </w:t>
      </w:r>
      <w:r w:rsidR="00EA5B76" w:rsidRPr="00EA5B76">
        <w:rPr>
          <w:rFonts w:asciiTheme="majorHAnsi" w:hAnsiTheme="majorHAnsi"/>
          <w:color w:val="262626" w:themeColor="text1" w:themeTint="D9"/>
          <w:lang w:val="bg-BG"/>
        </w:rPr>
        <w:t>една щатна бройка, дирекция „Оперативни програми и управление на проекти”.</w:t>
      </w:r>
    </w:p>
    <w:p w:rsidR="006637E3" w:rsidRPr="001A2570" w:rsidRDefault="006637E3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b/>
        </w:rPr>
      </w:pPr>
    </w:p>
    <w:p w:rsidR="00AA4902" w:rsidRDefault="009F1E46" w:rsidP="006637E3">
      <w:pPr>
        <w:pStyle w:val="BodyTextIndent"/>
        <w:tabs>
          <w:tab w:val="left" w:pos="540"/>
        </w:tabs>
        <w:ind w:left="0"/>
        <w:jc w:val="both"/>
        <w:rPr>
          <w:rFonts w:asciiTheme="majorHAnsi" w:hAnsiTheme="majorHAnsi" w:cs="Calibri"/>
          <w:b/>
        </w:rPr>
      </w:pPr>
      <w:r w:rsidRPr="001A2570">
        <w:rPr>
          <w:rFonts w:asciiTheme="majorHAnsi" w:hAnsiTheme="majorHAnsi" w:cs="Calibri"/>
          <w:b/>
        </w:rPr>
        <w:t>Описание на длъжността:</w:t>
      </w:r>
      <w:r w:rsidR="00673DF7" w:rsidRPr="001A2570">
        <w:rPr>
          <w:rFonts w:asciiTheme="majorHAnsi" w:hAnsiTheme="majorHAnsi" w:cs="Calibri"/>
          <w:b/>
        </w:rPr>
        <w:t xml:space="preserve"> </w:t>
      </w:r>
    </w:p>
    <w:p w:rsidR="00AA4902" w:rsidRPr="00EA5B76" w:rsidRDefault="00EA5B76" w:rsidP="00EA5B76">
      <w:pPr>
        <w:tabs>
          <w:tab w:val="left" w:pos="540"/>
        </w:tabs>
        <w:jc w:val="both"/>
        <w:rPr>
          <w:rFonts w:asciiTheme="majorHAnsi" w:hAnsiTheme="majorHAnsi"/>
          <w:lang w:val="bg-BG"/>
        </w:rPr>
      </w:pPr>
      <w:r w:rsidRPr="00EA5B76">
        <w:rPr>
          <w:rFonts w:asciiTheme="majorHAnsi" w:hAnsiTheme="majorHAnsi"/>
          <w:lang w:val="bg-BG"/>
        </w:rPr>
        <w:t>Организира, ръководи и отговаря за осъществяването на политиката на министерството за участие в програми и проекти, финансирани със средства от ЕС, международни финансови институции и други донори. Планира, организира и реализира процедури по възлагане на обществени поръчки в министерството.</w:t>
      </w:r>
    </w:p>
    <w:p w:rsidR="00295A57" w:rsidRPr="001A2570" w:rsidRDefault="00295A57" w:rsidP="00295A57">
      <w:pPr>
        <w:contextualSpacing/>
        <w:jc w:val="both"/>
        <w:rPr>
          <w:rFonts w:ascii="Cambria" w:hAnsi="Cambria"/>
          <w:lang w:val="bg-BG"/>
        </w:rPr>
      </w:pPr>
    </w:p>
    <w:p w:rsidR="00197C6C" w:rsidRPr="001A2570" w:rsidRDefault="00EA5B76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Theme="majorHAnsi" w:hAnsiTheme="majorHAnsi"/>
          <w:lang w:val="bg-BG"/>
        </w:rPr>
      </w:pPr>
      <w:r w:rsidRPr="00EA5B76">
        <w:rPr>
          <w:rFonts w:asciiTheme="majorHAnsi" w:hAnsiTheme="majorHAnsi"/>
          <w:lang w:val="bg-BG"/>
        </w:rPr>
        <w:t>Съгласно Наредбата за заплатите на служителите в държавната администрация и  Вътрешните правила за работна заплата, размерът на основното месечно възнаграждение  за длъжността „Директор</w:t>
      </w:r>
      <w:r w:rsidR="00892FEE" w:rsidRPr="00892FEE">
        <w:rPr>
          <w:rFonts w:asciiTheme="majorHAnsi" w:hAnsiTheme="majorHAnsi"/>
          <w:lang w:val="bg-BG"/>
        </w:rPr>
        <w:t xml:space="preserve"> </w:t>
      </w:r>
      <w:r w:rsidR="00892FEE">
        <w:rPr>
          <w:rFonts w:asciiTheme="majorHAnsi" w:hAnsiTheme="majorHAnsi"/>
          <w:lang w:val="bg-BG"/>
        </w:rPr>
        <w:t>дирекция</w:t>
      </w:r>
      <w:r w:rsidRPr="00EA5B76">
        <w:rPr>
          <w:rFonts w:asciiTheme="majorHAnsi" w:hAnsiTheme="majorHAnsi"/>
          <w:lang w:val="bg-BG"/>
        </w:rPr>
        <w:t>“  зависи от степента на основната месечна заплата,  съобразно признатия  професионален опит  на кандидата, като неговият  минимален размер е  както следва: за I степен – 2900 лв., за II степен - 3000 лв., за III степен –  3100 лв.</w:t>
      </w:r>
    </w:p>
    <w:p w:rsidR="00197C6C" w:rsidRPr="001A2570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Theme="majorHAnsi" w:hAnsiTheme="majorHAnsi"/>
          <w:lang w:val="bg-BG"/>
        </w:rPr>
      </w:pPr>
    </w:p>
    <w:p w:rsidR="00A97FFE" w:rsidRPr="001A2570" w:rsidRDefault="00A97FFE" w:rsidP="00671385">
      <w:pPr>
        <w:spacing w:after="120"/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са  български граждани и да нямат друго гражданство освен на държава - членка на Европейския съюз, съгласно чл. 27, ал. 2, т. 1  във вр. с ал. 1, т. 1 от Закона за дипломатическата служба;</w:t>
      </w:r>
    </w:p>
    <w:p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 xml:space="preserve">- Да притежават завършено висше образование с образователно-квалификационна степен „магистър“ съгласно чл. 27, ал. 2, т. 1 във вр. с ал. 1, т. 2 от Закона за дипломатическата служба в следните професионални области:  </w:t>
      </w:r>
      <w:r w:rsidR="00EA5B76" w:rsidRPr="00EA5B76">
        <w:rPr>
          <w:rFonts w:ascii="Cambria" w:hAnsi="Cambria"/>
          <w:lang w:val="bg-BG"/>
        </w:rPr>
        <w:t>правни или стопански науки;</w:t>
      </w:r>
      <w:r w:rsidRPr="00614475">
        <w:rPr>
          <w:rFonts w:asciiTheme="majorHAnsi" w:eastAsia="Calibri" w:hAnsiTheme="majorHAnsi"/>
          <w:lang w:val="bg-BG"/>
        </w:rPr>
        <w:t>;</w:t>
      </w:r>
    </w:p>
    <w:p w:rsidR="00614475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владеят най-малко един чужд език съгласно чл. 27, ал. 2, т. 2 от Закона за дипломатическата служба;</w:t>
      </w:r>
    </w:p>
    <w:p w:rsidR="00DA4576" w:rsidRPr="00614475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притежават компютърна грамотност, съгласно чл. 27, ал. 2, т. 1  във вр. с ал. 1, т. 4 от Закона за дипломатическата служба – MS Office;</w:t>
      </w:r>
    </w:p>
    <w:p w:rsidR="000972B3" w:rsidRDefault="00614475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Да не страдат от хронично психическо заболяване съгласно чл. 27, ал. 2, т. 1 във вр. с ал. 1, т. 5 от Закона за дипломатическата служба;</w:t>
      </w:r>
    </w:p>
    <w:p w:rsidR="002B07A7" w:rsidRDefault="000972B3" w:rsidP="002B07A7">
      <w:pPr>
        <w:widowControl w:val="0"/>
        <w:autoSpaceDE w:val="0"/>
        <w:autoSpaceDN w:val="0"/>
        <w:adjustRightInd w:val="0"/>
        <w:ind w:right="342" w:firstLine="426"/>
        <w:jc w:val="both"/>
        <w:rPr>
          <w:rFonts w:ascii="Cambria" w:hAnsi="Cambria"/>
          <w:lang w:val="bg-BG"/>
        </w:rPr>
      </w:pPr>
      <w:r w:rsidRPr="000972B3">
        <w:rPr>
          <w:rFonts w:ascii="Cambria" w:hAnsi="Cambria"/>
          <w:lang w:val="bg-BG"/>
        </w:rPr>
        <w:t xml:space="preserve">- Да притежават минимален професионален опит – 7 години, или   </w:t>
      </w:r>
    </w:p>
    <w:p w:rsidR="002B07A7" w:rsidRDefault="002B07A7" w:rsidP="002B07A7">
      <w:pPr>
        <w:widowControl w:val="0"/>
        <w:autoSpaceDE w:val="0"/>
        <w:autoSpaceDN w:val="0"/>
        <w:adjustRightInd w:val="0"/>
        <w:ind w:right="342" w:firstLine="426"/>
        <w:jc w:val="both"/>
        <w:rPr>
          <w:rFonts w:ascii="Cambria" w:hAnsi="Cambria"/>
          <w:lang w:val="bg-BG"/>
        </w:rPr>
      </w:pPr>
    </w:p>
    <w:p w:rsidR="002B07A7" w:rsidRDefault="002B07A7" w:rsidP="002B07A7">
      <w:pPr>
        <w:widowControl w:val="0"/>
        <w:autoSpaceDE w:val="0"/>
        <w:autoSpaceDN w:val="0"/>
        <w:adjustRightInd w:val="0"/>
        <w:ind w:right="342" w:firstLine="426"/>
        <w:jc w:val="both"/>
        <w:rPr>
          <w:rFonts w:ascii="Cambria" w:hAnsi="Cambria"/>
          <w:lang w:val="bg-BG"/>
        </w:rPr>
      </w:pPr>
    </w:p>
    <w:p w:rsidR="002B07A7" w:rsidRDefault="002B07A7" w:rsidP="002B07A7">
      <w:pPr>
        <w:widowControl w:val="0"/>
        <w:autoSpaceDE w:val="0"/>
        <w:autoSpaceDN w:val="0"/>
        <w:adjustRightInd w:val="0"/>
        <w:ind w:right="342" w:firstLine="426"/>
        <w:jc w:val="both"/>
        <w:rPr>
          <w:rFonts w:ascii="Cambria" w:hAnsi="Cambria"/>
          <w:lang w:val="bg-BG"/>
        </w:rPr>
      </w:pPr>
    </w:p>
    <w:p w:rsidR="002B07A7" w:rsidRDefault="002B07A7" w:rsidP="002B07A7">
      <w:pPr>
        <w:widowControl w:val="0"/>
        <w:autoSpaceDE w:val="0"/>
        <w:autoSpaceDN w:val="0"/>
        <w:adjustRightInd w:val="0"/>
        <w:ind w:right="342" w:firstLine="426"/>
        <w:jc w:val="both"/>
        <w:rPr>
          <w:rFonts w:ascii="Cambria" w:hAnsi="Cambria"/>
          <w:lang w:val="bg-BG"/>
        </w:rPr>
      </w:pPr>
    </w:p>
    <w:p w:rsidR="000972B3" w:rsidRPr="000972B3" w:rsidRDefault="000972B3" w:rsidP="002B07A7">
      <w:pPr>
        <w:widowControl w:val="0"/>
        <w:autoSpaceDE w:val="0"/>
        <w:autoSpaceDN w:val="0"/>
        <w:adjustRightInd w:val="0"/>
        <w:ind w:right="342" w:firstLine="426"/>
        <w:jc w:val="both"/>
        <w:rPr>
          <w:rFonts w:ascii="Cambria" w:hAnsi="Cambria"/>
          <w:lang w:val="bg-BG"/>
        </w:rPr>
      </w:pPr>
      <w:r w:rsidRPr="000972B3">
        <w:rPr>
          <w:rFonts w:ascii="Cambria" w:hAnsi="Cambria"/>
          <w:lang w:val="bg-BG"/>
        </w:rPr>
        <w:t xml:space="preserve"> минимален ранг за държавен служител – </w:t>
      </w:r>
      <w:r w:rsidRPr="000972B3">
        <w:rPr>
          <w:rFonts w:ascii="Cambria" w:hAnsi="Cambria"/>
        </w:rPr>
        <w:t>V</w:t>
      </w:r>
      <w:r w:rsidRPr="000972B3">
        <w:rPr>
          <w:rFonts w:ascii="Cambria" w:hAnsi="Cambria"/>
          <w:lang w:val="bg-BG"/>
        </w:rPr>
        <w:t xml:space="preserve"> старши;</w:t>
      </w:r>
    </w:p>
    <w:p w:rsidR="000972B3" w:rsidRPr="00614475" w:rsidRDefault="000972B3" w:rsidP="00614475">
      <w:pPr>
        <w:ind w:left="567" w:hanging="141"/>
        <w:jc w:val="both"/>
        <w:rPr>
          <w:rFonts w:asciiTheme="majorHAnsi" w:eastAsia="Calibri" w:hAnsiTheme="majorHAnsi"/>
          <w:lang w:val="bg-BG"/>
        </w:rPr>
      </w:pPr>
    </w:p>
    <w:p w:rsidR="00EA526F" w:rsidRDefault="00614475" w:rsidP="00EA526F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614475">
        <w:rPr>
          <w:rFonts w:asciiTheme="majorHAnsi" w:eastAsia="Calibri" w:hAnsiTheme="majorHAnsi"/>
          <w:lang w:val="bg-BG"/>
        </w:rPr>
        <w:t>-  Да отговарят на другите изисквания за заемане на държавна служба по чл. 7, ал. 1 и 2 от Закона за държавния служител, съгласно чл. 27, ал. 2, т. 1  във вр. с ал. 1, т. 6 от Закона за дипломатическата служба.</w:t>
      </w:r>
    </w:p>
    <w:p w:rsidR="00EA526F" w:rsidRDefault="00EA526F" w:rsidP="00EA526F">
      <w:pPr>
        <w:ind w:left="567" w:hanging="141"/>
        <w:jc w:val="both"/>
        <w:rPr>
          <w:rFonts w:asciiTheme="majorHAnsi" w:eastAsia="Calibri" w:hAnsiTheme="majorHAnsi"/>
          <w:lang w:val="bg-BG"/>
        </w:rPr>
      </w:pPr>
    </w:p>
    <w:p w:rsidR="00EA526F" w:rsidRDefault="00EA526F" w:rsidP="00EA526F">
      <w:pPr>
        <w:ind w:left="567" w:hanging="141"/>
        <w:jc w:val="both"/>
        <w:rPr>
          <w:rFonts w:asciiTheme="majorHAnsi" w:eastAsia="Calibri" w:hAnsiTheme="majorHAnsi"/>
          <w:lang w:val="bg-BG"/>
        </w:rPr>
      </w:pPr>
    </w:p>
    <w:p w:rsidR="00BC16C3" w:rsidRPr="00EA526F" w:rsidRDefault="00BC16C3" w:rsidP="00EA526F">
      <w:pPr>
        <w:ind w:left="567" w:hanging="141"/>
        <w:jc w:val="both"/>
        <w:rPr>
          <w:rFonts w:asciiTheme="majorHAnsi" w:eastAsia="Calibri" w:hAnsiTheme="majorHAnsi"/>
          <w:lang w:val="bg-BG"/>
        </w:rPr>
      </w:pPr>
      <w:r w:rsidRPr="0029517E">
        <w:rPr>
          <w:rFonts w:ascii="Cambria" w:hAnsi="Cambria"/>
          <w:b/>
          <w:lang w:val="bg-BG"/>
        </w:rPr>
        <w:t>Други специфични</w:t>
      </w:r>
      <w:r>
        <w:rPr>
          <w:rFonts w:ascii="Cambria" w:hAnsi="Cambria"/>
          <w:b/>
          <w:lang w:val="bg-BG"/>
        </w:rPr>
        <w:t xml:space="preserve"> за длъжността и за административното звено</w:t>
      </w:r>
      <w:r w:rsidRPr="0029517E">
        <w:rPr>
          <w:rFonts w:ascii="Cambria" w:hAnsi="Cambria"/>
          <w:b/>
          <w:lang w:val="bg-BG"/>
        </w:rPr>
        <w:t xml:space="preserve"> изисквания:</w:t>
      </w:r>
    </w:p>
    <w:p w:rsidR="00BC16C3" w:rsidRPr="00593B01" w:rsidRDefault="00BC16C3" w:rsidP="00BC16C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42" w:hanging="142"/>
        <w:jc w:val="both"/>
        <w:rPr>
          <w:rFonts w:ascii="Cambria" w:hAnsi="Cambria"/>
        </w:rPr>
      </w:pPr>
      <w:r>
        <w:rPr>
          <w:rFonts w:ascii="Cambria" w:hAnsi="Cambria" w:cstheme="minorHAnsi"/>
        </w:rPr>
        <w:t xml:space="preserve">Да притежават </w:t>
      </w:r>
      <w:r w:rsidRPr="00A164C7">
        <w:rPr>
          <w:rFonts w:ascii="Cambria" w:hAnsi="Cambria" w:cstheme="minorHAnsi"/>
        </w:rPr>
        <w:t>професионален опит в областта на управлението, изпълнението и контрола на програми и проекти, финансирани от ЕС или други международни финансови институции и/или в областта на обществените поръчки</w:t>
      </w:r>
      <w:r>
        <w:rPr>
          <w:rFonts w:ascii="Cambria" w:hAnsi="Cambria" w:cstheme="minorHAnsi"/>
        </w:rPr>
        <w:t>;</w:t>
      </w:r>
    </w:p>
    <w:p w:rsidR="00BC16C3" w:rsidRPr="00B01644" w:rsidRDefault="00BC16C3" w:rsidP="00EA526F">
      <w:pPr>
        <w:pStyle w:val="ListParagraph"/>
        <w:spacing w:before="200" w:after="120" w:line="240" w:lineRule="auto"/>
        <w:ind w:left="425"/>
        <w:contextualSpacing w:val="0"/>
        <w:jc w:val="both"/>
        <w:rPr>
          <w:rFonts w:ascii="Cambria" w:hAnsi="Cambria"/>
          <w:b/>
        </w:rPr>
      </w:pPr>
      <w:r w:rsidRPr="00B01644">
        <w:rPr>
          <w:rFonts w:ascii="Cambria" w:hAnsi="Cambria"/>
          <w:b/>
        </w:rPr>
        <w:t>Начин на провеждане на конкурса:</w:t>
      </w:r>
    </w:p>
    <w:p w:rsidR="00BC16C3" w:rsidRPr="00B01644" w:rsidRDefault="00BC16C3" w:rsidP="00BC16C3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Cambria" w:hAnsi="Cambria"/>
          <w:b/>
        </w:rPr>
      </w:pPr>
      <w:r w:rsidRPr="00B01644">
        <w:rPr>
          <w:rFonts w:ascii="Cambria" w:hAnsi="Cambria"/>
          <w:b/>
        </w:rPr>
        <w:t>Първи етап:</w:t>
      </w:r>
    </w:p>
    <w:p w:rsidR="00BC16C3" w:rsidRDefault="00BC16C3" w:rsidP="00BC16C3">
      <w:pPr>
        <w:pStyle w:val="ListParagraph"/>
        <w:ind w:left="644"/>
        <w:jc w:val="both"/>
        <w:rPr>
          <w:rFonts w:ascii="Cambria" w:eastAsia="Times New Roman" w:hAnsi="Cambria"/>
          <w:lang w:eastAsia="bg-BG"/>
        </w:rPr>
      </w:pPr>
      <w:r>
        <w:rPr>
          <w:rFonts w:ascii="Cambria" w:eastAsia="Times New Roman" w:hAnsi="Cambria"/>
          <w:lang w:eastAsia="bg-BG"/>
        </w:rPr>
        <w:t xml:space="preserve">- Тест </w:t>
      </w:r>
      <w:r w:rsidRPr="009334B5">
        <w:rPr>
          <w:rFonts w:ascii="Cambria" w:eastAsia="Times New Roman" w:hAnsi="Cambria"/>
          <w:lang w:eastAsia="bg-BG"/>
        </w:rPr>
        <w:t>за познания от професионалната област на длъжността и относно администрацията, в която е конкурсната длъжност</w:t>
      </w:r>
      <w:r>
        <w:rPr>
          <w:rFonts w:ascii="Cambria" w:eastAsia="Times New Roman" w:hAnsi="Cambria"/>
          <w:lang w:eastAsia="bg-BG"/>
        </w:rPr>
        <w:t xml:space="preserve"> </w:t>
      </w:r>
      <w:r w:rsidRPr="009334B5">
        <w:rPr>
          <w:rFonts w:ascii="Cambria" w:eastAsia="Times New Roman" w:hAnsi="Cambria"/>
          <w:lang w:eastAsia="bg-BG"/>
        </w:rPr>
        <w:t>и писмена разработка, която е свързана с изпълнението на длъжността /съгласно чл.33, ал. 1, т.1 и 2 от</w:t>
      </w:r>
      <w:r w:rsidRPr="009334B5">
        <w:rPr>
          <w:rFonts w:ascii="Cambria" w:hAnsi="Cambria"/>
        </w:rPr>
        <w:t xml:space="preserve"> Наредбата за провеждане на конкурсите и подбора при мобилност на държавни служители/</w:t>
      </w:r>
      <w:r w:rsidRPr="009334B5">
        <w:rPr>
          <w:rFonts w:ascii="Cambria" w:eastAsia="Times New Roman" w:hAnsi="Cambria"/>
          <w:lang w:eastAsia="bg-BG"/>
        </w:rPr>
        <w:t>.</w:t>
      </w:r>
    </w:p>
    <w:p w:rsidR="00BC16C3" w:rsidRPr="009334B5" w:rsidRDefault="00BC16C3" w:rsidP="00BC16C3">
      <w:pPr>
        <w:pStyle w:val="ListParagraph"/>
        <w:ind w:left="644"/>
        <w:jc w:val="both"/>
        <w:rPr>
          <w:rFonts w:ascii="Cambria" w:eastAsia="Times New Roman" w:hAnsi="Cambria"/>
          <w:lang w:eastAsia="bg-BG"/>
        </w:rPr>
      </w:pPr>
    </w:p>
    <w:p w:rsidR="00BC16C3" w:rsidRPr="00B01644" w:rsidRDefault="00BC16C3" w:rsidP="00BC16C3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Cambria" w:hAnsi="Cambria"/>
          <w:b/>
        </w:rPr>
      </w:pPr>
      <w:r w:rsidRPr="00B01644">
        <w:rPr>
          <w:rFonts w:ascii="Cambria" w:hAnsi="Cambria"/>
          <w:b/>
        </w:rPr>
        <w:t>Втори етап:</w:t>
      </w:r>
    </w:p>
    <w:p w:rsidR="00BC16C3" w:rsidRPr="00B01644" w:rsidRDefault="00BC16C3" w:rsidP="00BC16C3">
      <w:pPr>
        <w:pStyle w:val="ListParagraph"/>
        <w:numPr>
          <w:ilvl w:val="0"/>
          <w:numId w:val="8"/>
        </w:numPr>
        <w:spacing w:after="240" w:line="240" w:lineRule="auto"/>
        <w:ind w:left="782" w:hanging="215"/>
        <w:jc w:val="both"/>
        <w:rPr>
          <w:rFonts w:ascii="Cambria" w:hAnsi="Cambria" w:cstheme="minorHAnsi"/>
        </w:rPr>
      </w:pPr>
      <w:r w:rsidRPr="00B01644">
        <w:rPr>
          <w:rFonts w:ascii="Cambria" w:hAnsi="Cambria"/>
        </w:rPr>
        <w:t>Интервю.</w:t>
      </w:r>
      <w:r w:rsidRPr="00B01644">
        <w:rPr>
          <w:rFonts w:ascii="Cambria" w:hAnsi="Cambria" w:cstheme="minorHAnsi"/>
          <w:b/>
        </w:rPr>
        <w:t xml:space="preserve"> </w:t>
      </w:r>
    </w:p>
    <w:p w:rsidR="00BC16C3" w:rsidRPr="00B01644" w:rsidRDefault="00BC16C3" w:rsidP="00BC16C3">
      <w:pPr>
        <w:spacing w:after="240"/>
        <w:ind w:firstLine="360"/>
        <w:jc w:val="both"/>
        <w:rPr>
          <w:rFonts w:ascii="Cambria" w:hAnsi="Cambria" w:cstheme="minorHAnsi"/>
          <w:b/>
          <w:lang w:val="bg-BG"/>
        </w:rPr>
      </w:pPr>
      <w:r w:rsidRPr="00B01644">
        <w:rPr>
          <w:rFonts w:ascii="Cambria" w:hAnsi="Cambria" w:cstheme="minorHAnsi"/>
          <w:b/>
          <w:lang w:val="bg-BG"/>
        </w:rPr>
        <w:t xml:space="preserve">Нормативни </w:t>
      </w:r>
      <w:r>
        <w:rPr>
          <w:rFonts w:ascii="Cambria" w:hAnsi="Cambria" w:cstheme="minorHAnsi"/>
          <w:b/>
          <w:lang w:val="bg-BG"/>
        </w:rPr>
        <w:t>актове</w:t>
      </w:r>
      <w:r w:rsidRPr="00B01644">
        <w:rPr>
          <w:rFonts w:ascii="Cambria" w:hAnsi="Cambria" w:cstheme="minorHAnsi"/>
          <w:b/>
          <w:lang w:val="bg-BG"/>
        </w:rPr>
        <w:t xml:space="preserve"> за подготовка:</w:t>
      </w:r>
    </w:p>
    <w:p w:rsidR="00BC16C3" w:rsidRDefault="00BC16C3" w:rsidP="00BC16C3">
      <w:pPr>
        <w:pStyle w:val="ListParagraph"/>
        <w:numPr>
          <w:ilvl w:val="0"/>
          <w:numId w:val="15"/>
        </w:numPr>
        <w:spacing w:after="24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Закон за обществените поръчки и Правилника за неговото прилагане;</w:t>
      </w:r>
    </w:p>
    <w:p w:rsidR="00BC16C3" w:rsidRDefault="00BC16C3" w:rsidP="00BC16C3">
      <w:pPr>
        <w:pStyle w:val="ListParagraph"/>
        <w:numPr>
          <w:ilvl w:val="0"/>
          <w:numId w:val="15"/>
        </w:numPr>
        <w:spacing w:after="24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Закон за управлението на средствата от европейските структурни и инвестиционни фондове;</w:t>
      </w:r>
    </w:p>
    <w:p w:rsidR="00BC16C3" w:rsidRPr="00B01644" w:rsidRDefault="00BC16C3" w:rsidP="00BC16C3">
      <w:pPr>
        <w:pStyle w:val="ListParagraph"/>
        <w:numPr>
          <w:ilvl w:val="0"/>
          <w:numId w:val="15"/>
        </w:numPr>
        <w:spacing w:after="240" w:line="240" w:lineRule="auto"/>
        <w:jc w:val="both"/>
        <w:rPr>
          <w:rFonts w:ascii="Cambria" w:hAnsi="Cambria" w:cstheme="minorHAnsi"/>
        </w:rPr>
      </w:pPr>
      <w:r w:rsidRPr="00B01644">
        <w:rPr>
          <w:rFonts w:ascii="Cambria" w:hAnsi="Cambria" w:cstheme="minorHAnsi"/>
        </w:rPr>
        <w:t>Закон за дипломатическата служба;</w:t>
      </w:r>
    </w:p>
    <w:p w:rsidR="00BC16C3" w:rsidRPr="00B01644" w:rsidRDefault="00BC16C3" w:rsidP="00BC16C3">
      <w:pPr>
        <w:pStyle w:val="ListParagraph"/>
        <w:numPr>
          <w:ilvl w:val="0"/>
          <w:numId w:val="15"/>
        </w:numPr>
        <w:spacing w:after="240" w:line="240" w:lineRule="auto"/>
        <w:jc w:val="both"/>
        <w:rPr>
          <w:rFonts w:ascii="Cambria" w:hAnsi="Cambria" w:cstheme="minorHAnsi"/>
        </w:rPr>
      </w:pPr>
      <w:r w:rsidRPr="00B01644">
        <w:rPr>
          <w:rFonts w:ascii="Cambria" w:hAnsi="Cambria" w:cstheme="minorHAnsi"/>
        </w:rPr>
        <w:t xml:space="preserve">Закон за държавния служител; </w:t>
      </w:r>
    </w:p>
    <w:p w:rsidR="00BC16C3" w:rsidRPr="00B01644" w:rsidRDefault="00BC16C3" w:rsidP="00BC16C3">
      <w:pPr>
        <w:pStyle w:val="ListParagraph"/>
        <w:numPr>
          <w:ilvl w:val="0"/>
          <w:numId w:val="15"/>
        </w:numPr>
        <w:spacing w:after="240" w:line="240" w:lineRule="auto"/>
        <w:jc w:val="both"/>
        <w:rPr>
          <w:rFonts w:ascii="Cambria" w:hAnsi="Cambria" w:cstheme="minorHAnsi"/>
        </w:rPr>
      </w:pPr>
      <w:r w:rsidRPr="00C04EA1">
        <w:rPr>
          <w:rFonts w:ascii="Cambria" w:hAnsi="Cambria" w:cstheme="minorHAnsi"/>
        </w:rPr>
        <w:t>Закон за защита на класифицирана информация и Правилник</w:t>
      </w:r>
      <w:r>
        <w:rPr>
          <w:rFonts w:ascii="Cambria" w:hAnsi="Cambria" w:cstheme="minorHAnsi"/>
        </w:rPr>
        <w:t>а</w:t>
      </w:r>
      <w:r w:rsidRPr="00C04EA1">
        <w:rPr>
          <w:rFonts w:ascii="Cambria" w:hAnsi="Cambria" w:cstheme="minorHAnsi"/>
        </w:rPr>
        <w:t xml:space="preserve"> за </w:t>
      </w:r>
      <w:r>
        <w:rPr>
          <w:rFonts w:ascii="Cambria" w:hAnsi="Cambria" w:cstheme="minorHAnsi"/>
        </w:rPr>
        <w:t xml:space="preserve">неговото </w:t>
      </w:r>
      <w:r w:rsidRPr="00C04EA1">
        <w:rPr>
          <w:rFonts w:ascii="Cambria" w:hAnsi="Cambria" w:cstheme="minorHAnsi"/>
        </w:rPr>
        <w:t>прилагане</w:t>
      </w:r>
      <w:r>
        <w:rPr>
          <w:rFonts w:ascii="Cambria" w:hAnsi="Cambria" w:cstheme="minorHAnsi"/>
        </w:rPr>
        <w:t>;</w:t>
      </w:r>
      <w:r w:rsidRPr="00B01644">
        <w:rPr>
          <w:rFonts w:ascii="Cambria" w:hAnsi="Cambria" w:cstheme="minorHAnsi"/>
        </w:rPr>
        <w:t xml:space="preserve"> </w:t>
      </w:r>
    </w:p>
    <w:p w:rsidR="00BC16C3" w:rsidRPr="00C04EA1" w:rsidRDefault="00BC16C3" w:rsidP="00BC16C3">
      <w:pPr>
        <w:pStyle w:val="ListParagraph"/>
        <w:numPr>
          <w:ilvl w:val="0"/>
          <w:numId w:val="15"/>
        </w:numPr>
        <w:spacing w:after="240" w:line="240" w:lineRule="auto"/>
        <w:jc w:val="both"/>
        <w:rPr>
          <w:rFonts w:ascii="Cambria" w:hAnsi="Cambria" w:cstheme="minorHAnsi"/>
        </w:rPr>
      </w:pPr>
      <w:r w:rsidRPr="00B01644">
        <w:rPr>
          <w:rFonts w:ascii="Cambria" w:hAnsi="Cambria" w:cstheme="minorHAnsi"/>
        </w:rPr>
        <w:t>Устройствен правилник на МВнР</w:t>
      </w:r>
      <w:r w:rsidRPr="00C04EA1">
        <w:rPr>
          <w:rFonts w:ascii="Cambria" w:hAnsi="Cambria" w:cstheme="minorHAnsi"/>
        </w:rPr>
        <w:t>.</w:t>
      </w:r>
    </w:p>
    <w:p w:rsidR="00CA1C2B" w:rsidRPr="00CA1C2B" w:rsidRDefault="00CA1C2B" w:rsidP="00BC16C3">
      <w:pPr>
        <w:pStyle w:val="ListParagraph"/>
        <w:spacing w:before="120" w:after="120"/>
        <w:jc w:val="both"/>
        <w:rPr>
          <w:rFonts w:ascii="Cambria" w:eastAsia="Calibri" w:hAnsi="Cambria"/>
          <w:color w:val="FF0000"/>
        </w:rPr>
      </w:pPr>
    </w:p>
    <w:p w:rsidR="009F1E46" w:rsidRPr="001A2570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1A2570">
        <w:rPr>
          <w:rFonts w:asciiTheme="majorHAnsi" w:eastAsia="Calibri" w:hAnsiTheme="majorHAnsi"/>
          <w:b/>
          <w:lang w:val="bg-BG"/>
        </w:rPr>
        <w:t>Необходими документи за участие в конкурса:</w:t>
      </w:r>
    </w:p>
    <w:p w:rsidR="00DA4576" w:rsidRPr="00CE70D6" w:rsidRDefault="00295A57" w:rsidP="00B833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CE70D6">
        <w:rPr>
          <w:rFonts w:ascii="Cambria" w:hAnsi="Cambria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  <w:r w:rsidR="00CE70D6" w:rsidRPr="00CE70D6">
        <w:rPr>
          <w:rFonts w:ascii="Cambria" w:hAnsi="Cambria"/>
        </w:rPr>
        <w:t xml:space="preserve"> </w:t>
      </w:r>
    </w:p>
    <w:p w:rsidR="00295A57" w:rsidRPr="001A257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295A57" w:rsidRPr="001A257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</w:t>
      </w:r>
      <w:r w:rsidRPr="001A2570">
        <w:rPr>
          <w:rFonts w:ascii="Cambria" w:hAnsi="Cambria"/>
        </w:rPr>
        <w:lastRenderedPageBreak/>
        <w:t xml:space="preserve">за държавните изисквания за признаване на придобито висше образование и завършени периоди на обучение в чуждестранни висши училища (обн. ДВ, бр. </w:t>
      </w:r>
      <w:r w:rsidR="00CD2DBE">
        <w:rPr>
          <w:rFonts w:ascii="Cambria" w:hAnsi="Cambria"/>
        </w:rPr>
        <w:t>69 от 22.08.2000 г., посл. изм.</w:t>
      </w:r>
      <w:r w:rsidRPr="001A2570">
        <w:rPr>
          <w:rFonts w:ascii="Cambria" w:hAnsi="Cambria"/>
        </w:rPr>
        <w:t xml:space="preserve">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BD6907" w:rsidRPr="001A2570" w:rsidRDefault="00BD6907" w:rsidP="00BD6907">
      <w:pPr>
        <w:pStyle w:val="ListParagraph"/>
        <w:spacing w:line="240" w:lineRule="auto"/>
        <w:jc w:val="both"/>
        <w:rPr>
          <w:rFonts w:ascii="Cambria" w:hAnsi="Cambria"/>
        </w:rPr>
      </w:pPr>
    </w:p>
    <w:p w:rsidR="00295A57" w:rsidRPr="001A257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:rsidR="00295A57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9C13FA" w:rsidRPr="00A61748" w:rsidRDefault="009C13FA" w:rsidP="009C13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61748">
        <w:rPr>
          <w:rFonts w:ascii="Cambria" w:hAnsi="Cambria"/>
          <w:sz w:val="24"/>
          <w:szCs w:val="24"/>
        </w:rPr>
        <w:t>Копия от документи, удостоверяващи продължителността на професионалния опит;</w:t>
      </w:r>
    </w:p>
    <w:p w:rsidR="00295A57" w:rsidRPr="001A2570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</w:rPr>
      </w:pPr>
      <w:r w:rsidRPr="001A2570">
        <w:rPr>
          <w:rFonts w:ascii="Cambria" w:hAnsi="Cambria"/>
        </w:rPr>
        <w:t>Декларация или сертификат за притежавани компютърни умения.</w:t>
      </w:r>
    </w:p>
    <w:p w:rsidR="007955D1" w:rsidRPr="001A2570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1A2570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1A2570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1A2570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1A2570">
        <w:rPr>
          <w:rFonts w:asciiTheme="majorHAnsi" w:eastAsia="Calibri" w:hAnsiTheme="majorHAnsi"/>
          <w:b/>
          <w:lang w:val="bg-BG"/>
        </w:rPr>
        <w:t>15:30 до 16:30 ч.</w:t>
      </w:r>
      <w:r w:rsidR="009F1E46" w:rsidRPr="001A2570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1A2570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1A2570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1A2570">
        <w:rPr>
          <w:rFonts w:asciiTheme="majorHAnsi" w:eastAsia="Calibri" w:hAnsiTheme="majorHAnsi"/>
          <w:lang w:val="bg-BG"/>
        </w:rPr>
        <w:t>2</w:t>
      </w:r>
      <w:r w:rsidR="00804671" w:rsidRPr="001A2570">
        <w:rPr>
          <w:rFonts w:asciiTheme="majorHAnsi" w:hAnsiTheme="majorHAnsi"/>
          <w:lang w:val="bg-BG"/>
        </w:rPr>
        <w:t xml:space="preserve"> от </w:t>
      </w:r>
      <w:r w:rsidR="00055D34" w:rsidRPr="001A2570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1A2570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1A2570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:rsidR="001540FF" w:rsidRPr="001A2570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lang w:val="bg-BG"/>
        </w:rPr>
        <w:t xml:space="preserve">Документите се подават </w:t>
      </w:r>
      <w:r w:rsidRPr="00AB49B7">
        <w:rPr>
          <w:rFonts w:asciiTheme="majorHAnsi" w:hAnsiTheme="majorHAnsi"/>
          <w:b/>
          <w:lang w:val="bg-BG"/>
        </w:rPr>
        <w:t>в 1</w:t>
      </w:r>
      <w:r w:rsidR="00AB49B7" w:rsidRPr="00AB49B7">
        <w:rPr>
          <w:rFonts w:asciiTheme="majorHAnsi" w:hAnsiTheme="majorHAnsi"/>
          <w:b/>
          <w:lang w:val="bg-BG"/>
        </w:rPr>
        <w:t>0</w:t>
      </w:r>
      <w:r w:rsidR="005670E5" w:rsidRPr="00AB49B7">
        <w:rPr>
          <w:rFonts w:asciiTheme="majorHAnsi" w:hAnsiTheme="majorHAnsi"/>
          <w:b/>
          <w:lang w:val="bg-BG"/>
        </w:rPr>
        <w:t xml:space="preserve">-дневен </w:t>
      </w:r>
      <w:r w:rsidR="005670E5" w:rsidRPr="001A2570">
        <w:rPr>
          <w:rFonts w:asciiTheme="majorHAnsi" w:hAnsiTheme="majorHAnsi"/>
          <w:b/>
          <w:lang w:val="bg-BG"/>
        </w:rPr>
        <w:t>срок от публикуване на О</w:t>
      </w:r>
      <w:r w:rsidR="001540FF" w:rsidRPr="001A2570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:rsidR="00673DF7" w:rsidRPr="001A2570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1A2570">
        <w:rPr>
          <w:rFonts w:asciiTheme="majorHAnsi" w:hAnsiTheme="majorHAnsi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1A2570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Cs/>
          <w:lang w:val="bg-BG" w:eastAsia="bg-BG"/>
        </w:rPr>
        <w:t>М</w:t>
      </w:r>
      <w:r w:rsidR="00A60F6D" w:rsidRPr="001A2570">
        <w:rPr>
          <w:rFonts w:asciiTheme="majorHAnsi" w:hAnsiTheme="majorHAnsi"/>
          <w:bCs/>
          <w:lang w:val="bg-BG" w:eastAsia="bg-BG"/>
        </w:rPr>
        <w:t>ясто</w:t>
      </w:r>
      <w:r w:rsidRPr="001A2570">
        <w:rPr>
          <w:rFonts w:asciiTheme="majorHAnsi" w:hAnsiTheme="majorHAnsi"/>
          <w:bCs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1A2570">
        <w:rPr>
          <w:rFonts w:asciiTheme="majorHAnsi" w:hAnsiTheme="majorHAnsi"/>
          <w:bCs/>
          <w:lang w:val="bg-BG" w:eastAsia="bg-BG"/>
        </w:rPr>
        <w:t>,</w:t>
      </w:r>
      <w:r w:rsidRPr="001A2570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1A2570">
        <w:rPr>
          <w:rFonts w:asciiTheme="majorHAnsi" w:hAnsiTheme="majorHAnsi"/>
          <w:bCs/>
          <w:lang w:val="bg-BG" w:eastAsia="bg-BG"/>
        </w:rPr>
        <w:t>е</w:t>
      </w:r>
      <w:r w:rsidRPr="001A2570">
        <w:rPr>
          <w:rFonts w:asciiTheme="majorHAnsi" w:hAnsiTheme="majorHAnsi"/>
          <w:bCs/>
          <w:lang w:val="bg-BG" w:eastAsia="bg-BG"/>
        </w:rPr>
        <w:t xml:space="preserve"> </w:t>
      </w:r>
      <w:r w:rsidRPr="001A2570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1A2570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1A2570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1A2570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1A2570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1A2570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1A2570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1A2570">
        <w:rPr>
          <w:rFonts w:asciiTheme="majorHAnsi" w:hAnsiTheme="majorHAnsi"/>
          <w:lang w:val="bg-BG" w:eastAsia="bg-BG"/>
        </w:rPr>
        <w:t xml:space="preserve"> на МВнР</w:t>
      </w:r>
      <w:r w:rsidR="00A60F6D" w:rsidRPr="001A2570">
        <w:rPr>
          <w:rFonts w:asciiTheme="majorHAnsi" w:hAnsiTheme="majorHAnsi"/>
          <w:b/>
          <w:lang w:val="bg-BG" w:eastAsia="bg-BG"/>
        </w:rPr>
        <w:t>.</w:t>
      </w:r>
    </w:p>
    <w:p w:rsidR="00730160" w:rsidRPr="0037231F" w:rsidRDefault="00730160" w:rsidP="007301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lang w:val="bg-BG"/>
        </w:rPr>
      </w:pPr>
      <w:r w:rsidRPr="0037231F">
        <w:rPr>
          <w:rFonts w:ascii="Cambria" w:hAnsi="Cambria"/>
          <w:lang w:val="bg-BG"/>
        </w:rPr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p w:rsidR="002C2552" w:rsidRPr="001A2570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1A2570" w:rsidSect="00544332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4D" w:rsidRDefault="00A9284D" w:rsidP="00894A08">
      <w:r>
        <w:separator/>
      </w:r>
    </w:p>
  </w:endnote>
  <w:endnote w:type="continuationSeparator" w:id="0">
    <w:p w:rsidR="00A9284D" w:rsidRDefault="00A9284D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09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8D4" w:rsidRDefault="00F038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95F" w:rsidRDefault="00A0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:rsidR="00544332" w:rsidRPr="00544332" w:rsidRDefault="00A9284D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:rsidR="00544332" w:rsidRPr="00544332" w:rsidRDefault="00544332" w:rsidP="00544332">
    <w:pPr>
      <w:pStyle w:val="Footer"/>
      <w:rPr>
        <w:lang w:val="bg-BG"/>
      </w:rPr>
    </w:pPr>
  </w:p>
  <w:p w:rsidR="00C92454" w:rsidRPr="00544332" w:rsidRDefault="00A9284D" w:rsidP="005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4D" w:rsidRDefault="00A9284D" w:rsidP="00894A08">
      <w:r>
        <w:separator/>
      </w:r>
    </w:p>
  </w:footnote>
  <w:footnote w:type="continuationSeparator" w:id="0">
    <w:p w:rsidR="00A9284D" w:rsidRDefault="00A9284D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C76EE2" w:rsidRDefault="002645F1">
          <w:pPr>
            <w:pStyle w:val="Header"/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904875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:rsidR="00C76EE2" w:rsidRPr="00501647" w:rsidRDefault="00A9284D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:rsidR="00C76EE2" w:rsidRDefault="00A9284D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:rsidR="00C76EE2" w:rsidRPr="00F71498" w:rsidRDefault="00A9284D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8B1407"/>
    <w:multiLevelType w:val="hybridMultilevel"/>
    <w:tmpl w:val="D046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D054AE"/>
    <w:multiLevelType w:val="hybridMultilevel"/>
    <w:tmpl w:val="D9DA2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42D11"/>
    <w:multiLevelType w:val="hybridMultilevel"/>
    <w:tmpl w:val="A7EA62AE"/>
    <w:lvl w:ilvl="0" w:tplc="1D467B3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87E33"/>
    <w:rsid w:val="000972B3"/>
    <w:rsid w:val="000A20F1"/>
    <w:rsid w:val="000A23A1"/>
    <w:rsid w:val="000A3AF6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1A4C"/>
    <w:rsid w:val="001540FF"/>
    <w:rsid w:val="001556D2"/>
    <w:rsid w:val="001560CC"/>
    <w:rsid w:val="00156B6D"/>
    <w:rsid w:val="0016092E"/>
    <w:rsid w:val="001746F7"/>
    <w:rsid w:val="001861C5"/>
    <w:rsid w:val="00197C6C"/>
    <w:rsid w:val="001A24AB"/>
    <w:rsid w:val="001A2570"/>
    <w:rsid w:val="001A75CF"/>
    <w:rsid w:val="001B5154"/>
    <w:rsid w:val="001C2A7F"/>
    <w:rsid w:val="001C5BA2"/>
    <w:rsid w:val="001D4BEE"/>
    <w:rsid w:val="001E43F7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8567A"/>
    <w:rsid w:val="002915DF"/>
    <w:rsid w:val="00295A57"/>
    <w:rsid w:val="0029684A"/>
    <w:rsid w:val="002A0D64"/>
    <w:rsid w:val="002B07A7"/>
    <w:rsid w:val="002C2552"/>
    <w:rsid w:val="002C3629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5BA5"/>
    <w:rsid w:val="0034531B"/>
    <w:rsid w:val="0035128D"/>
    <w:rsid w:val="003524EF"/>
    <w:rsid w:val="00353442"/>
    <w:rsid w:val="0035390B"/>
    <w:rsid w:val="00365478"/>
    <w:rsid w:val="00366CF5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C62D1"/>
    <w:rsid w:val="003D7A4F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B0C91"/>
    <w:rsid w:val="004B3E12"/>
    <w:rsid w:val="004B49FE"/>
    <w:rsid w:val="004D205D"/>
    <w:rsid w:val="004D4206"/>
    <w:rsid w:val="004E3FEE"/>
    <w:rsid w:val="004E4622"/>
    <w:rsid w:val="004F0C5E"/>
    <w:rsid w:val="00501FAA"/>
    <w:rsid w:val="00507F3E"/>
    <w:rsid w:val="005203F1"/>
    <w:rsid w:val="00520AD0"/>
    <w:rsid w:val="00522372"/>
    <w:rsid w:val="00522986"/>
    <w:rsid w:val="00525BC7"/>
    <w:rsid w:val="00527C21"/>
    <w:rsid w:val="00527FE7"/>
    <w:rsid w:val="00537820"/>
    <w:rsid w:val="00544332"/>
    <w:rsid w:val="00547D22"/>
    <w:rsid w:val="00552584"/>
    <w:rsid w:val="00555C80"/>
    <w:rsid w:val="00556024"/>
    <w:rsid w:val="005609EE"/>
    <w:rsid w:val="00560C37"/>
    <w:rsid w:val="00564615"/>
    <w:rsid w:val="005670E5"/>
    <w:rsid w:val="0057499E"/>
    <w:rsid w:val="00582E2D"/>
    <w:rsid w:val="005978D5"/>
    <w:rsid w:val="005A7968"/>
    <w:rsid w:val="005B1870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4475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1D81"/>
    <w:rsid w:val="006637E3"/>
    <w:rsid w:val="006646EB"/>
    <w:rsid w:val="0066730F"/>
    <w:rsid w:val="00667801"/>
    <w:rsid w:val="006702F1"/>
    <w:rsid w:val="00671385"/>
    <w:rsid w:val="00673DF7"/>
    <w:rsid w:val="00675CF3"/>
    <w:rsid w:val="00685233"/>
    <w:rsid w:val="006874AE"/>
    <w:rsid w:val="00687B85"/>
    <w:rsid w:val="00692453"/>
    <w:rsid w:val="0069474A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18E9"/>
    <w:rsid w:val="006F38C9"/>
    <w:rsid w:val="006F5B99"/>
    <w:rsid w:val="0070328A"/>
    <w:rsid w:val="00716C1E"/>
    <w:rsid w:val="00722A87"/>
    <w:rsid w:val="0072766B"/>
    <w:rsid w:val="00730160"/>
    <w:rsid w:val="0073356E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B5FA3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2FEE"/>
    <w:rsid w:val="00894A08"/>
    <w:rsid w:val="00894CA6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278B"/>
    <w:rsid w:val="008E556E"/>
    <w:rsid w:val="008E5E1B"/>
    <w:rsid w:val="008F111E"/>
    <w:rsid w:val="00907E76"/>
    <w:rsid w:val="00911CE6"/>
    <w:rsid w:val="00914A7B"/>
    <w:rsid w:val="009304B2"/>
    <w:rsid w:val="00945980"/>
    <w:rsid w:val="00946349"/>
    <w:rsid w:val="009554D1"/>
    <w:rsid w:val="00967560"/>
    <w:rsid w:val="00967FBB"/>
    <w:rsid w:val="00970007"/>
    <w:rsid w:val="00983BA0"/>
    <w:rsid w:val="0099014A"/>
    <w:rsid w:val="00994550"/>
    <w:rsid w:val="0099569B"/>
    <w:rsid w:val="009A1B1D"/>
    <w:rsid w:val="009A2A17"/>
    <w:rsid w:val="009A3116"/>
    <w:rsid w:val="009A589D"/>
    <w:rsid w:val="009B039C"/>
    <w:rsid w:val="009B4BC2"/>
    <w:rsid w:val="009C0155"/>
    <w:rsid w:val="009C13FA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72571"/>
    <w:rsid w:val="00A80708"/>
    <w:rsid w:val="00A8356C"/>
    <w:rsid w:val="00A9284D"/>
    <w:rsid w:val="00A95551"/>
    <w:rsid w:val="00A97FFE"/>
    <w:rsid w:val="00AA03A5"/>
    <w:rsid w:val="00AA4902"/>
    <w:rsid w:val="00AA6F91"/>
    <w:rsid w:val="00AA736A"/>
    <w:rsid w:val="00AB36C4"/>
    <w:rsid w:val="00AB49B7"/>
    <w:rsid w:val="00AB5862"/>
    <w:rsid w:val="00AC5433"/>
    <w:rsid w:val="00AD02A8"/>
    <w:rsid w:val="00AD32FA"/>
    <w:rsid w:val="00AD4820"/>
    <w:rsid w:val="00AE1513"/>
    <w:rsid w:val="00AE3F9C"/>
    <w:rsid w:val="00AE521E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0392"/>
    <w:rsid w:val="00BB747E"/>
    <w:rsid w:val="00BC16C3"/>
    <w:rsid w:val="00BD6907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11F9"/>
    <w:rsid w:val="00C760F0"/>
    <w:rsid w:val="00C84EF1"/>
    <w:rsid w:val="00C94D32"/>
    <w:rsid w:val="00C95FAB"/>
    <w:rsid w:val="00CA0CCE"/>
    <w:rsid w:val="00CA1C2B"/>
    <w:rsid w:val="00CA1FBC"/>
    <w:rsid w:val="00CA58C1"/>
    <w:rsid w:val="00CB4188"/>
    <w:rsid w:val="00CD2DBE"/>
    <w:rsid w:val="00CD6501"/>
    <w:rsid w:val="00CD6C0A"/>
    <w:rsid w:val="00CE70D6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44C47"/>
    <w:rsid w:val="00D54BD1"/>
    <w:rsid w:val="00D7156D"/>
    <w:rsid w:val="00D73A79"/>
    <w:rsid w:val="00D85369"/>
    <w:rsid w:val="00D86960"/>
    <w:rsid w:val="00DA4576"/>
    <w:rsid w:val="00DA764D"/>
    <w:rsid w:val="00DB6C47"/>
    <w:rsid w:val="00DC42DF"/>
    <w:rsid w:val="00DF4150"/>
    <w:rsid w:val="00E00959"/>
    <w:rsid w:val="00E07861"/>
    <w:rsid w:val="00E145FA"/>
    <w:rsid w:val="00E15F7D"/>
    <w:rsid w:val="00E20EDD"/>
    <w:rsid w:val="00E27DB4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0B2F"/>
    <w:rsid w:val="00EA526F"/>
    <w:rsid w:val="00EA5B76"/>
    <w:rsid w:val="00EA744B"/>
    <w:rsid w:val="00EB75A0"/>
    <w:rsid w:val="00EC06DF"/>
    <w:rsid w:val="00EC0E0F"/>
    <w:rsid w:val="00EE0885"/>
    <w:rsid w:val="00EF2D2E"/>
    <w:rsid w:val="00F038D4"/>
    <w:rsid w:val="00F1770E"/>
    <w:rsid w:val="00F21F6E"/>
    <w:rsid w:val="00F45456"/>
    <w:rsid w:val="00F61460"/>
    <w:rsid w:val="00F63418"/>
    <w:rsid w:val="00F73092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character" w:customStyle="1" w:styleId="a">
    <w:name w:val="Основен текст_"/>
    <w:link w:val="1"/>
    <w:uiPriority w:val="99"/>
    <w:locked/>
    <w:rsid w:val="00AA4902"/>
    <w:rPr>
      <w:rFonts w:cs="Times New Roman"/>
    </w:rPr>
  </w:style>
  <w:style w:type="paragraph" w:customStyle="1" w:styleId="1">
    <w:name w:val="Основен текст1"/>
    <w:basedOn w:val="Normal"/>
    <w:link w:val="a"/>
    <w:uiPriority w:val="99"/>
    <w:rsid w:val="00AA4902"/>
    <w:pPr>
      <w:spacing w:before="240" w:after="480" w:line="250" w:lineRule="exact"/>
      <w:ind w:hanging="340"/>
    </w:pPr>
    <w:rPr>
      <w:rFonts w:asciiTheme="minorHAnsi" w:eastAsiaTheme="minorHAnsi" w:hAnsiTheme="minorHAns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17783-2F16-4F9F-8859-2DB3C801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Maria Shopova</cp:lastModifiedBy>
  <cp:revision>2</cp:revision>
  <cp:lastPrinted>2017-06-12T09:25:00Z</cp:lastPrinted>
  <dcterms:created xsi:type="dcterms:W3CDTF">2022-06-28T09:22:00Z</dcterms:created>
  <dcterms:modified xsi:type="dcterms:W3CDTF">2022-06-28T09:22:00Z</dcterms:modified>
</cp:coreProperties>
</file>